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default" w:ascii="黑体" w:eastAsia="黑体"/>
          <w:sz w:val="30"/>
          <w:szCs w:val="30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default" w:ascii="仿宋" w:eastAsia="仿宋"/>
          <w:b/>
          <w:sz w:val="28"/>
          <w:szCs w:val="28"/>
        </w:rPr>
      </w:pPr>
      <w:r>
        <w:rPr>
          <w:rFonts w:hint="eastAsia" w:ascii="仿宋" w:eastAsia="仿宋"/>
          <w:b/>
          <w:sz w:val="28"/>
          <w:szCs w:val="28"/>
        </w:rPr>
        <w:t>单位整体支出绩效目标表</w:t>
      </w:r>
    </w:p>
    <w:tbl>
      <w:tblPr>
        <w:tblStyle w:val="2"/>
        <w:tblpPr w:leftFromText="180" w:rightFromText="180" w:vertAnchor="text" w:horzAnchor="page" w:tblpX="1262" w:tblpY="310"/>
        <w:tblOverlap w:val="never"/>
        <w:tblW w:w="9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99"/>
        <w:gridCol w:w="102"/>
        <w:gridCol w:w="297"/>
        <w:gridCol w:w="1030"/>
        <w:gridCol w:w="170"/>
        <w:gridCol w:w="76"/>
        <w:gridCol w:w="723"/>
        <w:gridCol w:w="491"/>
        <w:gridCol w:w="309"/>
        <w:gridCol w:w="51"/>
        <w:gridCol w:w="1105"/>
        <w:gridCol w:w="43"/>
        <w:gridCol w:w="400"/>
        <w:gridCol w:w="25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单位名称</w:t>
            </w:r>
          </w:p>
        </w:tc>
        <w:tc>
          <w:tcPr>
            <w:tcW w:w="7995" w:type="dxa"/>
            <w:gridSpan w:val="15"/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甘肃省交通运行（路网）监测与应急处置中心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联系人</w:t>
            </w:r>
          </w:p>
        </w:tc>
        <w:tc>
          <w:tcPr>
            <w:tcW w:w="302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李影</w:t>
            </w:r>
          </w:p>
        </w:tc>
        <w:tc>
          <w:tcPr>
            <w:tcW w:w="14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3507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8427558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单位职能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依据</w:t>
            </w:r>
          </w:p>
        </w:tc>
        <w:tc>
          <w:tcPr>
            <w:tcW w:w="6294" w:type="dxa"/>
            <w:gridSpan w:val="13"/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《关于核定甘肃省公路管理局主要职责内设机构和人员编制的通知》（甘机编办通字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〔20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〕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175号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）、《甘肃省机构编制委员会办公室关于甘肃公路检测中心更名的批复》（甘机编办复字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〔20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〕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84号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）、《关于给省交通运行（路网）监测与应急处置中心调剂增加人员编制的批复》（甘编办复字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〔20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〕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20号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职能概述</w:t>
            </w:r>
          </w:p>
        </w:tc>
        <w:tc>
          <w:tcPr>
            <w:tcW w:w="6294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负责公路系统内部路网运行监测管理，负责公路应急指挥平台运行维护及公路路况信息发布，统筹协调全省公路系统突发事件处置及应急保障工作，指导全省公路系统应急保障体系建设，承担公路养护工程的试验、检测，参与公路工程质量事故的调查分析，组织调度全省公路养护生产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近三年单位职能是否出现过重大变化</w:t>
            </w:r>
          </w:p>
        </w:tc>
        <w:tc>
          <w:tcPr>
            <w:tcW w:w="6294" w:type="dxa"/>
            <w:gridSpan w:val="13"/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变化内容</w:t>
            </w:r>
          </w:p>
        </w:tc>
        <w:tc>
          <w:tcPr>
            <w:tcW w:w="6294" w:type="dxa"/>
            <w:gridSpan w:val="13"/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单位基本信息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直属单位包括</w:t>
            </w:r>
          </w:p>
        </w:tc>
        <w:tc>
          <w:tcPr>
            <w:tcW w:w="6294" w:type="dxa"/>
            <w:gridSpan w:val="13"/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内设职能部门</w:t>
            </w:r>
          </w:p>
        </w:tc>
        <w:tc>
          <w:tcPr>
            <w:tcW w:w="6294" w:type="dxa"/>
            <w:gridSpan w:val="13"/>
            <w:noWrap w:val="0"/>
            <w:vAlign w:val="center"/>
          </w:tcPr>
          <w:p>
            <w:pPr>
              <w:pStyle w:val="4"/>
              <w:spacing w:line="560" w:lineRule="exact"/>
              <w:ind w:left="0" w:leftChars="0" w:firstLine="0" w:firstLineChars="0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综合办公室、应急管理科、技术管理、路网监测科、财务资产科、国储中心运维部六个部门。</w:t>
            </w:r>
          </w:p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编制人员数</w:t>
            </w:r>
          </w:p>
        </w:tc>
        <w:tc>
          <w:tcPr>
            <w:tcW w:w="1573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实有在职人数</w:t>
            </w:r>
          </w:p>
        </w:tc>
        <w:tc>
          <w:tcPr>
            <w:tcW w:w="1574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行政编制人数</w:t>
            </w:r>
          </w:p>
        </w:tc>
        <w:tc>
          <w:tcPr>
            <w:tcW w:w="1573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事业编制人数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编外人数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57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574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单位基本制度建设情况</w:t>
            </w:r>
          </w:p>
        </w:tc>
        <w:tc>
          <w:tcPr>
            <w:tcW w:w="7995" w:type="dxa"/>
            <w:gridSpan w:val="15"/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 预算管理 财政专项资金管理 重点工作管理 资产管理 人力资源管理 政府采购管理 合同管理 工程建设管理 档案管理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上年预算情况（万元）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预算批复数</w:t>
            </w:r>
          </w:p>
        </w:tc>
        <w:tc>
          <w:tcPr>
            <w:tcW w:w="15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预算调整数</w:t>
            </w:r>
          </w:p>
        </w:tc>
        <w:tc>
          <w:tcPr>
            <w:tcW w:w="15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实际支出数</w:t>
            </w:r>
          </w:p>
        </w:tc>
        <w:tc>
          <w:tcPr>
            <w:tcW w:w="15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执行率</w:t>
            </w: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年末结转结余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4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4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4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当年预算构成（万元）</w:t>
            </w:r>
          </w:p>
        </w:tc>
        <w:tc>
          <w:tcPr>
            <w:tcW w:w="3997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单位收入预算</w:t>
            </w:r>
          </w:p>
        </w:tc>
        <w:tc>
          <w:tcPr>
            <w:tcW w:w="3998" w:type="dxa"/>
            <w:gridSpan w:val="8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单位支出预算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9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上级财政拨款</w:t>
            </w: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人员经费</w:t>
            </w:r>
          </w:p>
        </w:tc>
        <w:tc>
          <w:tcPr>
            <w:tcW w:w="199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506.07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9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本级财政安排</w:t>
            </w: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5846.36</w:t>
            </w:r>
          </w:p>
        </w:tc>
        <w:tc>
          <w:tcPr>
            <w:tcW w:w="19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公用经费</w:t>
            </w:r>
          </w:p>
        </w:tc>
        <w:tc>
          <w:tcPr>
            <w:tcW w:w="199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34.01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9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其他资金</w:t>
            </w: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项目经费</w:t>
            </w:r>
          </w:p>
        </w:tc>
        <w:tc>
          <w:tcPr>
            <w:tcW w:w="199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2780.68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9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收入预算合计</w:t>
            </w: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5846.36</w:t>
            </w:r>
          </w:p>
        </w:tc>
        <w:tc>
          <w:tcPr>
            <w:tcW w:w="19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支出预算合计</w:t>
            </w:r>
          </w:p>
        </w:tc>
        <w:tc>
          <w:tcPr>
            <w:tcW w:w="199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5846.36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其他需要说明的问题</w:t>
            </w:r>
          </w:p>
        </w:tc>
        <w:tc>
          <w:tcPr>
            <w:tcW w:w="7995" w:type="dxa"/>
            <w:gridSpan w:val="15"/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一级指标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二级指标</w:t>
            </w:r>
          </w:p>
        </w:tc>
        <w:tc>
          <w:tcPr>
            <w:tcW w:w="4252" w:type="dxa"/>
            <w:gridSpan w:val="9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三级指标</w:t>
            </w:r>
          </w:p>
        </w:tc>
        <w:tc>
          <w:tcPr>
            <w:tcW w:w="2042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部门管理</w:t>
            </w: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资金投入</w:t>
            </w:r>
          </w:p>
        </w:tc>
        <w:tc>
          <w:tcPr>
            <w:tcW w:w="4252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基本支出预算执行率</w:t>
            </w:r>
          </w:p>
        </w:tc>
        <w:tc>
          <w:tcPr>
            <w:tcW w:w="20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2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项目支出预算执行率</w:t>
            </w:r>
          </w:p>
        </w:tc>
        <w:tc>
          <w:tcPr>
            <w:tcW w:w="20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“三公经费”控制率</w:t>
            </w:r>
          </w:p>
        </w:tc>
        <w:tc>
          <w:tcPr>
            <w:tcW w:w="20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结转结余变动率</w:t>
            </w:r>
          </w:p>
        </w:tc>
        <w:tc>
          <w:tcPr>
            <w:tcW w:w="204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＜</w:t>
            </w:r>
            <w:r>
              <w:rPr>
                <w:rFonts w:hint="eastAsia"/>
                <w:sz w:val="18"/>
                <w:szCs w:val="18"/>
              </w:rPr>
              <w:t>=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</w:t>
            </w:r>
          </w:p>
        </w:tc>
        <w:tc>
          <w:tcPr>
            <w:tcW w:w="4252" w:type="dxa"/>
            <w:gridSpan w:val="9"/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财务管理制度健全性</w:t>
            </w:r>
          </w:p>
        </w:tc>
        <w:tc>
          <w:tcPr>
            <w:tcW w:w="2042" w:type="dxa"/>
            <w:gridSpan w:val="4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9"/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资金使用规范性</w:t>
            </w:r>
          </w:p>
        </w:tc>
        <w:tc>
          <w:tcPr>
            <w:tcW w:w="2042" w:type="dxa"/>
            <w:gridSpan w:val="4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采购管理</w:t>
            </w:r>
          </w:p>
        </w:tc>
        <w:tc>
          <w:tcPr>
            <w:tcW w:w="4252" w:type="dxa"/>
            <w:gridSpan w:val="9"/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政府采购规范性</w:t>
            </w:r>
          </w:p>
        </w:tc>
        <w:tc>
          <w:tcPr>
            <w:tcW w:w="2042" w:type="dxa"/>
            <w:gridSpan w:val="4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资产管理</w:t>
            </w:r>
          </w:p>
        </w:tc>
        <w:tc>
          <w:tcPr>
            <w:tcW w:w="4252" w:type="dxa"/>
            <w:gridSpan w:val="9"/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资产管理规范性</w:t>
            </w:r>
          </w:p>
        </w:tc>
        <w:tc>
          <w:tcPr>
            <w:tcW w:w="2042" w:type="dxa"/>
            <w:gridSpan w:val="4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履职效果</w:t>
            </w: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部门履职目标</w:t>
            </w:r>
          </w:p>
        </w:tc>
        <w:tc>
          <w:tcPr>
            <w:tcW w:w="4252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完成高速公路检测里程（公里）</w:t>
            </w:r>
          </w:p>
        </w:tc>
        <w:tc>
          <w:tcPr>
            <w:tcW w:w="204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＞=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完成国省干线检测里程（公里）</w:t>
            </w:r>
          </w:p>
        </w:tc>
        <w:tc>
          <w:tcPr>
            <w:tcW w:w="204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＞=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部门效果目标</w:t>
            </w:r>
          </w:p>
        </w:tc>
        <w:tc>
          <w:tcPr>
            <w:tcW w:w="4252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道路通行条件</w:t>
            </w:r>
          </w:p>
        </w:tc>
        <w:tc>
          <w:tcPr>
            <w:tcW w:w="20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改善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服务对象满意度</w:t>
            </w:r>
          </w:p>
        </w:tc>
        <w:tc>
          <w:tcPr>
            <w:tcW w:w="4252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群众</w:t>
            </w:r>
            <w:r>
              <w:rPr>
                <w:rFonts w:hint="eastAsia"/>
                <w:sz w:val="18"/>
                <w:szCs w:val="18"/>
              </w:rPr>
              <w:t>满意度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%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042" w:type="dxa"/>
            <w:gridSpan w:val="4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＞=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90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能力建设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长效管理</w:t>
            </w:r>
          </w:p>
        </w:tc>
        <w:tc>
          <w:tcPr>
            <w:tcW w:w="4252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管理机制完备性</w:t>
            </w:r>
          </w:p>
        </w:tc>
        <w:tc>
          <w:tcPr>
            <w:tcW w:w="20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完备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档案管理</w:t>
            </w:r>
          </w:p>
        </w:tc>
        <w:tc>
          <w:tcPr>
            <w:tcW w:w="4252" w:type="dxa"/>
            <w:gridSpan w:val="9"/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档案管理机制完备性</w:t>
            </w:r>
          </w:p>
        </w:tc>
        <w:tc>
          <w:tcPr>
            <w:tcW w:w="20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完备</w:t>
            </w:r>
          </w:p>
        </w:tc>
      </w:tr>
    </w:tbl>
    <w:p/>
    <w:p>
      <w:pPr>
        <w:widowControl/>
        <w:spacing w:line="560" w:lineRule="exact"/>
        <w:ind w:firstLine="360" w:firstLineChars="200"/>
        <w:jc w:val="left"/>
        <w:rPr>
          <w:rFonts w:hint="default" w:ascii="仿宋" w:hAnsi="微软雅黑" w:eastAsia="仿宋"/>
          <w:sz w:val="18"/>
          <w:szCs w:val="18"/>
        </w:rPr>
        <w:sectPr>
          <w:pgSz w:w="11906" w:h="16838"/>
          <w:pgMar w:top="1134" w:right="1134" w:bottom="1134" w:left="1134" w:header="851" w:footer="992" w:gutter="0"/>
          <w:paperSrc/>
          <w:cols w:space="720" w:num="1"/>
          <w:rtlGutter w:val="0"/>
          <w:docGrid w:type="lines" w:linePitch="312" w:charSpace="0"/>
        </w:sectPr>
      </w:pPr>
    </w:p>
    <w:p>
      <w:pPr>
        <w:spacing w:line="560" w:lineRule="exact"/>
        <w:jc w:val="center"/>
        <w:rPr>
          <w:rFonts w:hint="default" w:ascii="仿宋" w:eastAsia="仿宋"/>
          <w:b/>
          <w:sz w:val="28"/>
          <w:szCs w:val="28"/>
        </w:rPr>
      </w:pPr>
      <w:r>
        <w:rPr>
          <w:rFonts w:hint="eastAsia" w:ascii="仿宋" w:eastAsia="仿宋"/>
          <w:b/>
          <w:sz w:val="28"/>
          <w:szCs w:val="28"/>
        </w:rPr>
        <w:t>项目支出绩效目标表</w:t>
      </w:r>
    </w:p>
    <w:tbl>
      <w:tblPr>
        <w:tblStyle w:val="2"/>
        <w:tblpPr w:leftFromText="180" w:rightFromText="180" w:vertAnchor="text" w:horzAnchor="page" w:tblpX="1512" w:tblpY="217"/>
        <w:tblOverlap w:val="never"/>
        <w:tblW w:w="9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284"/>
        <w:gridCol w:w="992"/>
        <w:gridCol w:w="335"/>
        <w:gridCol w:w="1224"/>
        <w:gridCol w:w="236"/>
        <w:gridCol w:w="1182"/>
        <w:gridCol w:w="283"/>
        <w:gridCol w:w="709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预算单位</w:t>
            </w:r>
          </w:p>
        </w:tc>
        <w:tc>
          <w:tcPr>
            <w:tcW w:w="3028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甘肃省交通运行（路网）监测与应急处置中心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项目名称</w:t>
            </w:r>
          </w:p>
        </w:tc>
        <w:tc>
          <w:tcPr>
            <w:tcW w:w="3507" w:type="dxa"/>
            <w:gridSpan w:val="4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政府收费公路养护、修缮及其他支出经费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一级项目名称</w:t>
            </w:r>
          </w:p>
        </w:tc>
        <w:tc>
          <w:tcPr>
            <w:tcW w:w="30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lang w:eastAsia="zh-CN"/>
              </w:rPr>
              <w:t>公路建设养护专项资金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二级项目名称</w:t>
            </w:r>
          </w:p>
        </w:tc>
        <w:tc>
          <w:tcPr>
            <w:tcW w:w="3507" w:type="dxa"/>
            <w:gridSpan w:val="4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政府收费公路养护、修缮及其他支出经费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项目类型</w:t>
            </w:r>
          </w:p>
        </w:tc>
        <w:tc>
          <w:tcPr>
            <w:tcW w:w="30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lang w:eastAsia="zh-CN"/>
              </w:rPr>
              <w:t>经济社会发展项目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资金用途</w:t>
            </w:r>
          </w:p>
        </w:tc>
        <w:tc>
          <w:tcPr>
            <w:tcW w:w="35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高速公路检测费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资金性质</w:t>
            </w:r>
          </w:p>
        </w:tc>
        <w:tc>
          <w:tcPr>
            <w:tcW w:w="30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lang w:eastAsia="zh-CN"/>
              </w:rPr>
              <w:t>政府性基金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项目分类</w:t>
            </w:r>
          </w:p>
        </w:tc>
        <w:tc>
          <w:tcPr>
            <w:tcW w:w="35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延续性项目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项目资金(万元)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年度资金总额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2500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其中：中央补助安排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省级财政安排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年度绩效目标</w:t>
            </w:r>
          </w:p>
        </w:tc>
        <w:tc>
          <w:tcPr>
            <w:tcW w:w="7995" w:type="dxa"/>
            <w:gridSpan w:val="10"/>
            <w:noWrap w:val="0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lang w:eastAsia="zh-CN"/>
              </w:rPr>
              <w:t>提升公路养护治理能力，保持公路及其沿线设施良好的技术状况，完成年度省养普通干线公路路面及部分桥隧检测工作，出具检测评定报告，为公路养护科学决策提供依据，更好地为公众安全便捷出行提供服务。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一级指标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二级指标</w:t>
            </w:r>
          </w:p>
        </w:tc>
        <w:tc>
          <w:tcPr>
            <w:tcW w:w="4252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三级指标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指标目标值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4252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完成高速公路检测里程（公里）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＞=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6"/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资金到位及时性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4252" w:type="dxa"/>
            <w:gridSpan w:val="6"/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是否改善基础设施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4252" w:type="dxa"/>
            <w:gridSpan w:val="6"/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检测任务完成及时性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经济成本指标</w:t>
            </w:r>
          </w:p>
        </w:tc>
        <w:tc>
          <w:tcPr>
            <w:tcW w:w="4252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是否存在超预算情况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社会成本指标</w:t>
            </w:r>
          </w:p>
        </w:tc>
        <w:tc>
          <w:tcPr>
            <w:tcW w:w="4252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交通行业形象提升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经济效益指标</w:t>
            </w:r>
          </w:p>
        </w:tc>
        <w:tc>
          <w:tcPr>
            <w:tcW w:w="4252" w:type="dxa"/>
            <w:gridSpan w:val="6"/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有助于相关经费科学安排，合理支出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有助于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社会效益指标</w:t>
            </w:r>
          </w:p>
        </w:tc>
        <w:tc>
          <w:tcPr>
            <w:tcW w:w="4252" w:type="dxa"/>
            <w:gridSpan w:val="6"/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控制节约成本情况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有效节约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6"/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预算资金使用效益提高情况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生态效益指标</w:t>
            </w:r>
          </w:p>
        </w:tc>
        <w:tc>
          <w:tcPr>
            <w:tcW w:w="4252" w:type="dxa"/>
            <w:gridSpan w:val="6"/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检测工作符合环保要求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满意度指标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服务对象满意度指标</w:t>
            </w:r>
          </w:p>
        </w:tc>
        <w:tc>
          <w:tcPr>
            <w:tcW w:w="4252" w:type="dxa"/>
            <w:gridSpan w:val="6"/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受益群众满意度（%）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&gt;=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sz w:val="18"/>
                <w:szCs w:val="18"/>
              </w:rPr>
              <w:t>0%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wNWUxOTRjNjQ0Y2YwZDgzNjdlOWEyM2IzMjc3YzcifQ=="/>
  </w:docVars>
  <w:rsids>
    <w:rsidRoot w:val="7DFF7ED1"/>
    <w:rsid w:val="17532C64"/>
    <w:rsid w:val="25AB6A06"/>
    <w:rsid w:val="3BA90120"/>
    <w:rsid w:val="4D0A294E"/>
    <w:rsid w:val="6A704386"/>
    <w:rsid w:val="6A9F6FC2"/>
    <w:rsid w:val="7DFF7ED1"/>
    <w:rsid w:val="9FAD66B3"/>
    <w:rsid w:val="E7FD6B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1301</Words>
  <Characters>1381</Characters>
  <Lines>0</Lines>
  <Paragraphs>0</Paragraphs>
  <TotalTime>0</TotalTime>
  <ScaleCrop>false</ScaleCrop>
  <LinksUpToDate>false</LinksUpToDate>
  <CharactersWithSpaces>1390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2023-03-14T18:26:00Z</dcterms:created>
  <dc:creator>user</dc:creator>
  <cp:lastModifiedBy>admin</cp:lastModifiedBy>
  <dcterms:modified xsi:type="dcterms:W3CDTF">2023-03-14T07:21:44Z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682546290EA94A94870DDE503C2E6EF0</vt:lpwstr>
  </property>
</Properties>
</file>